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</w:t>
      </w:r>
      <w:r>
        <w:rPr>
          <w:b/>
          <w:sz w:val="28"/>
          <w:szCs w:val="28"/>
          <w:lang w:val="kk-KZ"/>
        </w:rPr>
      </w:r>
    </w:p>
    <w:p>
      <w:pPr>
        <w:jc w:val="both"/>
        <w:spacing w:after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  <w:r>
        <w:rPr>
          <w:b/>
          <w:sz w:val="28"/>
          <w:szCs w:val="28"/>
          <w:lang w:val="kk-KZ"/>
        </w:rPr>
      </w:r>
    </w:p>
    <w:p>
      <w:pPr>
        <w:jc w:val="both"/>
        <w:spacing w:after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  <w:r>
        <w:rPr>
          <w:b/>
          <w:sz w:val="28"/>
          <w:szCs w:val="28"/>
          <w:lang w:val="kk-KZ"/>
        </w:rPr>
      </w:r>
    </w:p>
    <w:p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2)</w:t>
      </w:r>
      <w:r>
        <w:rPr>
          <w:b/>
          <w:color w:val="000000"/>
          <w:sz w:val="28"/>
          <w:szCs w:val="28"/>
          <w:lang w:val="kk-KZ"/>
        </w:rPr>
        <w:t xml:space="preserve"> Мектепке дейінгі тәрбие мен оқытудың білім беру қызметін жүзеге асыру үлгілік оқу бағдарламасына (бұдан әрі – МДТО үлгілік оқу бағдарламасы) сәйкестігі.</w:t>
      </w:r>
      <w:r>
        <w:rPr>
          <w:b/>
          <w:color w:val="000000"/>
          <w:sz w:val="28"/>
          <w:szCs w:val="28"/>
          <w:lang w:val="kk-KZ"/>
        </w:rPr>
      </w:r>
    </w:p>
    <w:p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 </w:t>
      </w:r>
      <w:r>
        <w:rPr>
          <w:color w:val="000000"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МДТО МЖМБС 4 –тармақ 2) тармақша талабына және </w:t>
      </w:r>
      <w:r>
        <w:rPr>
          <w:color w:val="000000"/>
          <w:sz w:val="28"/>
          <w:szCs w:val="28"/>
          <w:lang w:val="kk-KZ"/>
        </w:rPr>
        <w:t xml:space="preserve">  Қазақстан Республикасы Білім және ғылым министрінің міндетін атқарушының 2016 жылғы 12 тамыздағы № 499 бұйрығымен бекітілген (нормат</w:t>
      </w:r>
      <w:r>
        <w:rPr>
          <w:color w:val="000000"/>
          <w:sz w:val="28"/>
          <w:szCs w:val="28"/>
          <w:lang w:val="kk-KZ"/>
        </w:rPr>
        <w:t xml:space="preserve">ивтік құқықтық актілерді мемлекеттік тіркеу тізілімінде № 14235 болып тіркелген)  «Мектепке дейінгі тәрбие мен оқытудың үлгілік оқу бағдарламасына» (бұдан әрі –МДТО үлгілік оқу бағдарламасы) және білім беру бағдарламасына   сәйкестендіру жұмыстары бойынша:</w:t>
      </w:r>
      <w:r>
        <w:rPr>
          <w:color w:val="000000"/>
          <w:sz w:val="28"/>
          <w:szCs w:val="28"/>
          <w:lang w:val="kk-KZ"/>
        </w:rPr>
      </w:r>
    </w:p>
    <w:p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ab/>
        <w:t xml:space="preserve">Мектепалды  сыныбының бекітілген білім беру қызметі МДТО МЖМБС-ның 5 тармағын</w:t>
      </w:r>
      <w:r>
        <w:rPr>
          <w:color w:val="000000"/>
          <w:sz w:val="28"/>
          <w:szCs w:val="28"/>
          <w:lang w:val="kk-KZ"/>
        </w:rPr>
        <w:t xml:space="preserve">а және Қазақстан Республикасы Білім және ғылым министрінің міндетін атқарушының 2016 жылғы 12 тамыздағы № 499 бұйрығымен бекітілген «Мектепке дейінгі тәрбие мен оқытудың үлгілік оқу бағдарламасына (бұдан әрі –Үлгілік оқу бағдарламалары) сәйкес әзірленген. </w:t>
      </w:r>
      <w:r>
        <w:rPr>
          <w:sz w:val="28"/>
          <w:szCs w:val="28"/>
          <w:lang w:val="kk-KZ"/>
        </w:rPr>
        <w:t xml:space="preserve">М</w:t>
      </w:r>
      <w:r>
        <w:rPr>
          <w:color w:val="000000"/>
          <w:sz w:val="28"/>
          <w:szCs w:val="28"/>
          <w:lang w:val="kk-KZ"/>
        </w:rPr>
        <w:t xml:space="preserve">ектепке дейінгі тәрбие мен оқытудың  үлгілік оқу бағдарламасына сәйкес білім беру қызметін  жүзеге асырылғанын</w:t>
      </w:r>
      <w:r>
        <w:rPr>
          <w:color w:val="000000"/>
          <w:sz w:val="28"/>
          <w:szCs w:val="28"/>
          <w:lang w:val="kk-KZ"/>
        </w:rPr>
        <w:t xml:space="preserve"> және ұйымдастырылған оқу қызметінің  (арнайы түзету оқу қызметі) бөлінуін растайтын құжаттар, күн тәртібі, бекітілген өтпелі тақырыптар мен циклограммаларға сәйкес перспективалық жоспарлардың және жылдық жұмыс жоспарлар ұсыныс талаптарға сәйкестендірілді.</w:t>
      </w:r>
      <w:r>
        <w:rPr>
          <w:color w:val="000000"/>
          <w:sz w:val="28"/>
          <w:szCs w:val="28"/>
          <w:lang w:val="kk-KZ"/>
        </w:rPr>
      </w:r>
    </w:p>
    <w:p>
      <w:pPr>
        <w:pStyle w:val="618"/>
        <w:jc w:val="both"/>
        <w:spacing w:before="0" w:line="240" w:lineRule="auto"/>
        <w:rPr>
          <w:rFonts w:ascii="Times New Roman" w:hAnsi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/>
          <w:color w:val="auto"/>
          <w:sz w:val="28"/>
          <w:szCs w:val="28"/>
          <w:lang w:val="kk-KZ"/>
        </w:rPr>
        <w:t xml:space="preserve">Перспектива мен циклограмма </w:t>
      </w:r>
      <w:r>
        <w:rPr>
          <w:rFonts w:ascii="Times New Roman" w:hAnsi="Times New Roman"/>
          <w:color w:val="auto"/>
          <w:sz w:val="28"/>
          <w:szCs w:val="28"/>
          <w:lang w:val="kk-KZ"/>
        </w:rPr>
        <w:t xml:space="preserve">https://altynsarin-sozak.edu.kz/kz</w:t>
      </w:r>
      <w:r>
        <w:rPr>
          <w:rFonts w:ascii="Times New Roman" w:hAnsi="Times New Roman"/>
          <w:color w:val="auto"/>
          <w:sz w:val="28"/>
          <w:szCs w:val="28"/>
          <w:lang w:val="kk-KZ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айтына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жүктелді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</w:r>
      <w:r>
        <w:rPr>
          <w:color w:val="000000"/>
          <w:sz w:val="28"/>
          <w:szCs w:val="28"/>
          <w:lang w:val="kk-KZ"/>
        </w:rPr>
      </w:r>
    </w:p>
    <w:p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</w:r>
      <w:r>
        <w:rPr>
          <w:color w:val="000000"/>
          <w:sz w:val="28"/>
          <w:szCs w:val="28"/>
          <w:lang w:val="kk-KZ"/>
        </w:rPr>
      </w:r>
    </w:p>
    <w:p>
      <w:pPr>
        <w:rPr>
          <w:lang w:val="kk-KZ"/>
        </w:rPr>
      </w:pPr>
      <w:r>
        <w:rPr>
          <w:lang w:val="kk-KZ"/>
        </w:rPr>
      </w:r>
      <w:r>
        <w:rPr>
          <w:lang w:val="kk-KZ"/>
        </w:rPr>
      </w:r>
    </w:p>
    <w:sectPr>
      <w:footnotePr/>
      <w:endnotePr/>
      <w:type w:val="nextPage"/>
      <w:pgSz w:w="11906" w:h="16838" w:orient="portrait"/>
      <w:pgMar w:top="1134" w:right="1274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ascii="Times New Roman" w:hAnsi="Times New Roman" w:eastAsia="Times New Roman" w:cs="Times New Roman"/>
      <w:lang w:val="en-US"/>
    </w:rPr>
  </w:style>
  <w:style w:type="paragraph" w:styleId="618">
    <w:name w:val="Heading 1"/>
    <w:basedOn w:val="617"/>
    <w:next w:val="617"/>
    <w:link w:val="623"/>
    <w:qFormat/>
    <w:pPr>
      <w:keepLines/>
      <w:keepNext/>
      <w:spacing w:before="240" w:after="0" w:line="258" w:lineRule="auto"/>
      <w:outlineLvl w:val="0"/>
    </w:pPr>
    <w:rPr>
      <w:rFonts w:ascii="Calibri" w:hAnsi="Calibri" w:eastAsia="Calibri"/>
      <w:color w:val="2e74b5"/>
      <w:sz w:val="32"/>
      <w:szCs w:val="20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>
    <w:name w:val="Hyperlink"/>
    <w:uiPriority w:val="99"/>
    <w:rPr>
      <w:color w:val="0563c1"/>
      <w:u w:val="single"/>
    </w:rPr>
  </w:style>
  <w:style w:type="character" w:styleId="623" w:customStyle="1">
    <w:name w:val="Заголовок 1 Знак"/>
    <w:basedOn w:val="619"/>
    <w:link w:val="618"/>
    <w:rPr>
      <w:rFonts w:ascii="Calibri" w:hAnsi="Calibri" w:eastAsia="Calibri" w:cs="Times New Roman"/>
      <w:color w:val="2e74b5"/>
      <w:sz w:val="32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Аноним</cp:lastModifiedBy>
  <cp:revision>4</cp:revision>
  <dcterms:created xsi:type="dcterms:W3CDTF">2024-06-03T03:57:00Z</dcterms:created>
  <dcterms:modified xsi:type="dcterms:W3CDTF">2025-02-19T18:41:57Z</dcterms:modified>
</cp:coreProperties>
</file>