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Мектепке дейінгі тәрбие мен оқытудың МЖМБС 2-қосымшасына сәйкес туғаннан бастап  1- сыныпқа қабылдауға дейінгі балалардың біліктіліктері мен дағдыларының  тізбесін игеру бойынша оқыту нәтижелерін бағалауға  қойылатын   талаптар</w:t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62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62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Талдау нәтижелері: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Осы өлшемшарттар бойынша  талдау үшін  ұсынылған құжаттарды талдау, зерделеу және салыстыру барысында анықталғаны:</w:t>
      </w:r>
      <w:r>
        <w:rPr>
          <w:rFonts w:ascii="Times New Roman" w:hAnsi="Times New Roman"/>
          <w:b/>
          <w:sz w:val="28"/>
          <w:szCs w:val="28"/>
          <w:lang w:val="kk-KZ"/>
        </w:rPr>
      </w:r>
    </w:p>
    <w:p>
      <w:pPr>
        <w:pStyle w:val="622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Мектепке дейінгі тәрбие мен оқытудың МЖБС 2-қосымшасына сәйкес мектепалды даярлық сынып оқушылары ата-аналарынан  2023 жылдың 22 желтоқсаны  күні   сауалнама алынған. Сауалнама  мектепалды даярлық сыныптары бойынша  76 а</w:t>
      </w:r>
      <w:r>
        <w:rPr>
          <w:rFonts w:ascii="Times New Roman" w:hAnsi="Times New Roman"/>
          <w:sz w:val="28"/>
          <w:szCs w:val="28"/>
          <w:lang w:val="kk-KZ"/>
        </w:rPr>
        <w:t xml:space="preserve">та-анадан немесе заңды өкілінен алынған. Балалардың біліктіліктері мен дағдыларының тізбесін игеру бойынша  оқыту нәтижелерін бағалау үшін  мектепалды сынып оқушыларының  ата-аналарымен сауалнама алу ата-аналар комитеті төрағаларының қатысуымен өткізілген.</w:t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622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Сауалнама барысында денсаулық сақтау дағдылары, коммуникативтік тілдік дағдылар, танымды</w:t>
      </w:r>
      <w:r>
        <w:rPr>
          <w:rFonts w:ascii="Times New Roman" w:hAnsi="Times New Roman"/>
          <w:sz w:val="28"/>
          <w:szCs w:val="28"/>
          <w:lang w:val="kk-KZ"/>
        </w:rPr>
        <w:t xml:space="preserve">қ дағдылар, шығармашылық дағдылар, әлеуметтік дағдылар  тізбесі бойынша  мәдени-гигиеналық дағдылар, дене шынықтыру, дербес қимыл белсенділігі, салауатты өмір салты, қарым-қатынас мәдениеті, тілдің грамматикалық құрылымы, сөйлеудің дыбыстық мәдениеті, сөзд</w:t>
      </w:r>
      <w:r>
        <w:rPr>
          <w:rFonts w:ascii="Times New Roman" w:hAnsi="Times New Roman"/>
          <w:sz w:val="28"/>
          <w:szCs w:val="28"/>
          <w:lang w:val="kk-KZ"/>
        </w:rPr>
        <w:t xml:space="preserve">ік қор, байланыстырып сөйлеу, шығармашылық, тілдік қызмет, сауат ашу негіздері, заттардың қасиеттерін бағдарлау, қоршаған ортаны тану, құрастыру дағдылары, экологиялық мәдениет негіздері, қарапайым математикалық ұғымдар, ізденіс және эксперименттік әрекет,</w:t>
      </w:r>
      <w:r>
        <w:rPr>
          <w:rFonts w:ascii="Times New Roman" w:hAnsi="Times New Roman"/>
          <w:sz w:val="28"/>
          <w:szCs w:val="28"/>
          <w:lang w:val="kk-KZ"/>
        </w:rPr>
        <w:t xml:space="preserve"> ақпаратпен жұмыс, музыкалық әрекет, өнімді әрекет,қоршаған ортаны эстетикалық қабылдау, әлеуметтік дағдылар бойыша мәдени мінез-құлық дағдылары, ересектермен және құрдастарымен өзара әрекет, адамгершілік нормалары туралы түсінік дағдыларынан жүргізілген. </w:t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62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eastAsia="Times New Roman"/>
          <w:sz w:val="28"/>
          <w:szCs w:val="28"/>
          <w:lang w:val="kk-KZ"/>
        </w:rPr>
        <w:t xml:space="preserve">          Ата-аналар толтырған сауалнамалардың түпнұсқалары алынып, талдау жасалды. </w:t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62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Сауалнамаға қамтылған барлық ата-аналар сауалнамадағы дағдылардың мазмұнын түсінгендігін, сауалнаманы өздері толтырғандығын, мектеп әкімшілігі немесе басқа да мүдделі тұлғалар тарапынан қысым жасалмағандығын атап көрсетті.</w:t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62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</w:r>
      <w:r>
        <w:rPr>
          <w:rFonts w:ascii="Times New Roman" w:hAnsi="Times New Roman"/>
          <w:sz w:val="28"/>
          <w:szCs w:val="28"/>
          <w:lang w:val="kk-KZ"/>
        </w:rPr>
      </w:r>
    </w:p>
    <w:tbl>
      <w:tblPr>
        <w:tblStyle w:val="623"/>
        <w:tblW w:w="10207" w:type="dxa"/>
        <w:tblInd w:w="-318" w:type="dxa"/>
        <w:tblLook w:val="04A0" w:firstRow="1" w:lastRow="0" w:firstColumn="1" w:lastColumn="0" w:noHBand="0" w:noVBand="1"/>
      </w:tblPr>
      <w:tblGrid>
        <w:gridCol w:w="459"/>
        <w:gridCol w:w="2609"/>
        <w:gridCol w:w="1245"/>
        <w:gridCol w:w="1381"/>
        <w:gridCol w:w="1383"/>
        <w:gridCol w:w="78"/>
        <w:gridCol w:w="1543"/>
        <w:gridCol w:w="1509"/>
      </w:tblGrid>
      <w:tr>
        <w:tblPrEx/>
        <w:trPr/>
        <w:tc>
          <w:tcPr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МАД «А»  сыныбы.   Сынып    жетекшісі  Б.Жақсыбаева</w:t>
            </w:r>
            <w:r>
              <w:rPr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Ата-ананың аты-жөні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-2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-1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0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+1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+2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Әділханқызы Эльмира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12/ 29,3%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23/56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4/ 9%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Пәрменбайқызы Гүлназ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21/51,2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lang w:val="kk-KZ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Сыздықова Айдана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9/ 22,0%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18/43,9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13/31,7</w:t>
            </w:r>
            <w:r>
              <w:rPr>
                <w:rFonts w:ascii="Times New Roman" w:hAnsi="Times New Roman"/>
                <w:lang w:val="kk-KZ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Мұсаева Жансара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9/ 22,0%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26/63,4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4/ 9%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Қабылбекова Руфа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4/ 9%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31/75,6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lang w:val="kk-KZ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Көбеева Бекзат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5/ 12,2%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33/80,5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lang w:val="kk-KZ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Макулбаева Жаудир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9/ 22,0%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10/ 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Сугирбаева Жанерке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7/17,0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10/ 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15/36/6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9/ 22,0%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Шункебаева Сандуғаш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13/31,7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23/56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4/ 9%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Тасболатова Салтанат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15/36/6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23/56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Халелқызы Сәния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8/19,5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24/58,5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9/ 22,0%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Калиева Гулимай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8/19/5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27/65,3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Укибаева Жанар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10/ 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26/63,4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4/ 9%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Рахымбекова Амангүл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32/78,1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Тұрғанбай Айдана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35/85,4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Утембаева Айида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10/ 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11/26,8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Полат Жазира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20/48/,8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Мелдеханова Гүлдана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10/ 24,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27/65,3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 xml:space="preserve">4/ 9%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Муханбетова Айгуль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14/34/1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24/58,5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Жалпы:19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40/5,14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141/18,10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437/56,1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161/20,66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020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kk-KZ"/>
              </w:rPr>
              <w:t xml:space="preserve">МАД «Ә»  сыныбы.   Сынып    жетекшісі        А.Шүленова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Ата-ананың аты-жөні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-2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-1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0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+1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+2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Теміралиева Алмагүл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9/22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5/12,1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11/27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15/36,5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Қошқарбаева Рахат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7/17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13/31,7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18/44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Нұрмағанбет Назерке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8/19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2/5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20/49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11/27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Жүзтаева Ақерке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8/19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11/27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14/34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7/17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Абашева  Жазира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22/53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18/46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1/1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Расилбекова Жанат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26/63,4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9/22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Дүйсенбекова Жанат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5/12,2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33/80,5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tabs>
                <w:tab w:val="left" w:pos="1335" w:leader="none"/>
              </w:tabs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Келдияр Жайна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35/85,4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Кенжебаева Мадина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4/9,6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16/39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20/49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Дүрлекова Ақбота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12/29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22/54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Расулбекова Гүлназ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2/5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5/12,1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33/80,5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Жандосқызы Ақбота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18/44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22/53,6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Паркиева Назерке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4/9,7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5/12,1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2/5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27/65,8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Ахатаева Ұлдар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7/17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32/78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2/5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Иримжанова Айсұлу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2/5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10/24,4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23/56,0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Матенова Айнұр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6/14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28/68,3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7/17,1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Айтжанова бану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8/19,5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21/51,2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12/29,3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Есенбетова Мөлдір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8/19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11/26,8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9/22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12/29,3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Бекенова Нұргүл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7/17,1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10/24,4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7/17,1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14/34,1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 w:eastAsia="ru-RU"/>
              </w:rPr>
              <w:t xml:space="preserve">Жалпы:19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10/1,3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87/11,1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92/12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267/34,2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323/41,4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0207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МАД «Б»  сыныбы.   Сынып    жетекшісі   Ж.Құтбергенова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Ата-ананың аты-жөні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-2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-1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0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+1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+2 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Айтжанова Дина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8/19,5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31/75,6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Туребаева Жадыра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7/17/1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32/78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Айтжанова Баян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20/48,8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Тоқсанбаева Ғалия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14/34,1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5/12,2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5/12,2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17/41,5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Сейсенова Мақпал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8/19,5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28/68,3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Бектурсын Сәбит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7/17,1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15/36,6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17/41,4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Сарсенбаева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29/70,7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8/19,5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Саденова Дана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7/17,1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32/78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Акбердиева Бекзада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5/12,2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36/87,8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Болысбекова Макпал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37/90,2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Ауесханова Ботакөз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37/90,2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Қаһарманқызы Ғалия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22/53,7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Жумабаева Карлыгаш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22/53,6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17/41,5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Бейсекова Назгүл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29/70,7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12/29,3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Рахым Гүлнұр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7/17,1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33/80,5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½,4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Әбішева Әмина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34/83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Таласбаева Айнұр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38/92,7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Көкешбай Жансая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1/2,4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37/90,3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Беккулиева Жаныл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34/83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Жалпы:19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1/0,1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31/4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83/10,7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62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546/70,1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118/15,1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0207" w:type="dxa"/>
            <w:textDirection w:val="lrTb"/>
            <w:noWrap w:val="false"/>
          </w:tcPr>
          <w:p>
            <w:pPr>
              <w:pStyle w:val="62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МАД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 сыныбы.   Сынып    жетекшісі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Ж.Сәрсенбаева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Ата-ананың аты-жөні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-2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-1(%)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0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+1(%)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+2 (%)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Қадір Гауһар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5/12,2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20/48,9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11/26,8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Сәрсенбаева Жайна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9/21,9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30/73,2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Қыпшақбай Нургул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7/17,2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24/58,5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10/24,3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Жетпісбаева Жансая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8/19,7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25/60,9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Дәулетов Бекзат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16/39,1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Козиева Енилик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15/36,7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Өмірбекова Мақпал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12/29,2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26/63,5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Түменбай Әйгерім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7/17,1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17/41,4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14/34,2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Шитбаева Марина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20/48,9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11/26,9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Болтрикова Толғанай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5/12,2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20/48,9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10/24,4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Өтеміс Райхан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5/12,2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22/53,7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10/24,4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Бақбергенова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10/24,4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29/70,8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Сарубаева Салтанат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27/65,9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10/24,4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Қалымбетова Айнаш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5/12,2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19/46,3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12/29,3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Кубекова Ғазиза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28/68,3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10/24,4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Утжанова Ақерке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2/4,9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23/56,2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Шоқпарова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3/7,3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15/36,5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23/56,2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Раймкулова Гулзира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4/9,7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22/53,7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8/19,6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Сулейменова Рыскул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1/2,4%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6/14,6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7/17,1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20/48,8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</w:t>
            </w:r>
            <w:r>
              <w:rPr>
                <w:rFonts w:ascii="Times New Roman" w:hAnsi="Times New Roman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7/17,1</w:t>
            </w:r>
            <w:r>
              <w:rPr>
                <w:rFonts w:ascii="Times New Roman" w:hAnsi="Times New Roman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Жалпы:19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13/1,7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82/10,6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49/6,3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371/47,6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%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yellow"/>
                <w:lang w:val="kk-KZ"/>
              </w:rPr>
            </w:pPr>
            <w:r>
              <w:rPr>
                <w:rFonts w:ascii="Times New Roman" w:hAnsi="Times New Roman"/>
                <w:highlight w:val="yellow"/>
                <w:lang w:val="kk-KZ"/>
              </w:rPr>
              <w:t xml:space="preserve">264/33,8</w:t>
            </w:r>
            <w:r>
              <w:rPr>
                <w:rFonts w:ascii="Times New Roman" w:hAnsi="Times New Roman"/>
                <w:highlight w:val="yellow"/>
                <w:lang w:val="kk-KZ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6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  <w:t xml:space="preserve">Жалпы жиыны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:76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45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24/0,77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8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240/7,70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461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365/11,71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43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1621/52,02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509" w:type="dxa"/>
            <w:textDirection w:val="lrTb"/>
            <w:noWrap w:val="false"/>
          </w:tcPr>
          <w:p>
            <w:pPr>
              <w:pStyle w:val="622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866/27,8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r>
          </w:p>
        </w:tc>
      </w:tr>
    </w:tbl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tbl>
      <w:tblPr>
        <w:tblW w:w="98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>
        <w:tblPrEx/>
        <w:trPr/>
        <w:tc>
          <w:tcPr>
            <w:shd w:val="clear" w:color="auto" w:fill="auto"/>
            <w:tcMar>
              <w:left w:w="63" w:type="dxa"/>
              <w:top w:w="38" w:type="dxa"/>
              <w:right w:w="63" w:type="dxa"/>
              <w:bottom w:w="38" w:type="dxa"/>
            </w:tcMar>
            <w:tcW w:w="9814" w:type="dxa"/>
            <w:textDirection w:val="lrTb"/>
            <w:noWrap w:val="false"/>
          </w:tcPr>
          <w:p>
            <w:pPr>
              <w:pStyle w:val="622"/>
              <w:spacing w:line="276" w:lineRule="auto"/>
              <w:rPr>
                <w:rFonts w:ascii="Times New Roman" w:hAnsi="Times New Roman" w:eastAsia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kk-KZ" w:eastAsia="ru-RU"/>
              </w:rPr>
              <w:t xml:space="preserve">          Білім беру ұйымдарын бағалау өлшемшарттары бойынша 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 xml:space="preserve">жас кезеңіне сәйкес тәрб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  <w:t xml:space="preserve">иеленушінің жетістіктерін мониторингтеу барысында мектепалды даярлық сыныптарынан 100 % қамтылып, «қанағаттанбайтын ата-ана – 8,47%, жауап беруге қиналатын ата-ана – 11,71%, қанағаттанатын ата-ана 79,82 %-ды көрсетіп, МДТО МЖМБС талаптарына сәйкес келеді. </w:t>
            </w:r>
            <w:r>
              <w:rPr>
                <w:rFonts w:ascii="Times New Roman" w:hAnsi="Times New Roman" w:eastAsia="Times New Roman"/>
                <w:sz w:val="28"/>
                <w:szCs w:val="28"/>
                <w:lang w:val="kk-KZ" w:eastAsia="ru-RU"/>
              </w:rPr>
            </w:r>
          </w:p>
        </w:tc>
      </w:tr>
    </w:tbl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pPr>
        <w:rPr>
          <w:lang w:val="kk-KZ"/>
        </w:rPr>
      </w:pPr>
      <w:r>
        <w:rPr>
          <w:lang w:val="kk-KZ"/>
        </w:rPr>
      </w:r>
      <w:r>
        <w:rPr>
          <w:lang w:val="kk-KZ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Calibri" w:hAnsi="Calibri" w:eastAsia="Calibri" w:cs="Times New Roma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Без интервала Знак"/>
    <w:link w:val="622"/>
    <w:uiPriority w:val="1"/>
    <w:rPr>
      <w:rFonts w:ascii="Calibri" w:hAnsi="Calibri" w:eastAsia="Calibri" w:cs="Times New Roman"/>
    </w:rPr>
  </w:style>
  <w:style w:type="paragraph" w:styleId="622">
    <w:name w:val="No Spacing"/>
    <w:link w:val="621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623">
    <w:name w:val="Table Grid"/>
    <w:basedOn w:val="61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Аноним</cp:lastModifiedBy>
  <cp:revision>2</cp:revision>
  <dcterms:created xsi:type="dcterms:W3CDTF">2024-06-13T05:37:00Z</dcterms:created>
  <dcterms:modified xsi:type="dcterms:W3CDTF">2025-02-19T17:49:10Z</dcterms:modified>
</cp:coreProperties>
</file>